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怎么学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为了更好地完成学习任务，我给同学们提出下面的一些建议和要求：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1．结合“学习安排”制定学习计划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学习安排按周呈现了课程的学习内容、内容对应的学时及形考任务，是课程组根据课程整体情况设置的学习工具，建议你按照学习安排进行学习，以达到最佳学习效果。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2．可按章实现学习资源、形考任务的完整学习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从“学习安排”表点击可进入各个章节页面，按照章节路径，可阅读一体化学习每章的文本、视频、图片等资源，完成学习活动。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每个章节的具体学习安排如下：</w:t>
      </w:r>
    </w:p>
    <w:tbl>
      <w:tblPr>
        <w:tblW w:w="476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588"/>
        <w:gridCol w:w="15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shd w:val="clear" w:color="auto" w:fill="C5E163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本章导学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学习目标</w:t>
            </w:r>
          </w:p>
        </w:tc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重点难点</w:t>
            </w:r>
          </w:p>
        </w:tc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学习建议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76225" cy="400050"/>
            <wp:effectExtent l="0" t="0" r="1333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71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27"/>
        <w:gridCol w:w="1027"/>
        <w:gridCol w:w="1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shd w:val="clear" w:color="auto" w:fill="C5E163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知识点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视频</w:t>
            </w:r>
          </w:p>
        </w:tc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文本</w:t>
            </w:r>
          </w:p>
        </w:tc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图片</w:t>
            </w:r>
          </w:p>
        </w:tc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拓展资源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76225" cy="400050"/>
            <wp:effectExtent l="0" t="0" r="13335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70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23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shd w:val="clear" w:color="auto" w:fill="C5E163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形考任务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任务说明</w:t>
            </w:r>
          </w:p>
        </w:tc>
        <w:tc>
          <w:tcPr>
            <w:tcW w:w="0" w:type="auto"/>
            <w:shd w:val="clear" w:color="auto" w:fill="DAF08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96" w:beforeAutospacing="0" w:after="96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8"/>
                <w:szCs w:val="28"/>
                <w:shd w:val="clear" w:fill="FFFFFF"/>
                <w:lang w:val="en-US" w:eastAsia="zh-CN"/>
              </w:rPr>
              <w:t>学习步骤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3．参与小组学习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通过小组合作学习，对初等教育的改革进行深入探索，对学习心得进行交流分享。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4．留意学习过程中教师的提示与帮助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要留意课程公告、课程QQ群、课程讨论区、即时消息、课程双向视频及其他交流中主持教师、责任教师、辅导老师发布的消息，及时跟上学习进度。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5．学思结合、学用结合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在学习过程中，要注重以各国的初等教育现象为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案例，结合实际，从各种渠道汲取信息，掌握分析运用信息的能力。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default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怎么考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《比较初等教育》课程的考核分为两个部分：形成性考核和终结性考试。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本课程考核总分为100分，形成性考核占总分的50%，期末终结性考试占总学分的50%。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8"/>
          <w:szCs w:val="28"/>
          <w:shd w:val="clear" w:fill="FFFFFF"/>
        </w:rPr>
        <w:t>形成性考核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 包括阶段性测验及讨论活动两部分，各部分成绩相加满分为100分，共折合课程考核总分50分。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8"/>
          <w:szCs w:val="28"/>
          <w:shd w:val="clear" w:fill="FFFFFF"/>
        </w:rPr>
        <w:t>终结性考试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8"/>
          <w:szCs w:val="28"/>
          <w:shd w:val="clear" w:fill="FFFFFF"/>
        </w:rPr>
        <w:t> 试卷由计算机考试软件组题，其中包括10道单项选择题（4分/道）和10道判断题（4分/道），2道简答题（10分/道），满分100分。考试时长为90分钟。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ddjxb01</dc:creator>
  <cp:lastModifiedBy>Joney </cp:lastModifiedBy>
  <dcterms:modified xsi:type="dcterms:W3CDTF">2021-04-10T01:36:31Z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